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2CA5A0" w14:textId="77777777" w:rsidR="00190F50" w:rsidRDefault="00190F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  <w:sz w:val="22"/>
          <w:szCs w:val="22"/>
        </w:rPr>
      </w:pPr>
    </w:p>
    <w:p w14:paraId="2D4FD58A" w14:textId="77777777" w:rsidR="00190F50" w:rsidRDefault="00000000">
      <w:pPr>
        <w:spacing w:line="276" w:lineRule="auto"/>
      </w:pPr>
      <w:r>
        <w:t xml:space="preserve">Please lay out your abstract using the template below. </w:t>
      </w:r>
    </w:p>
    <w:p w14:paraId="6ABFDFC1" w14:textId="77777777" w:rsidR="00190F50" w:rsidRDefault="00000000">
      <w:pPr>
        <w:spacing w:line="276" w:lineRule="auto"/>
        <w:rPr>
          <w:b/>
          <w:bCs/>
        </w:rPr>
      </w:pPr>
      <w:r>
        <w:rPr>
          <w:b/>
          <w:bCs/>
        </w:rPr>
        <w:t>Do not change the font in size or style.</w:t>
      </w:r>
    </w:p>
    <w:p w14:paraId="757FC785" w14:textId="77777777" w:rsidR="00190F50" w:rsidRDefault="00190F50">
      <w:pPr>
        <w:tabs>
          <w:tab w:val="left" w:pos="1843"/>
          <w:tab w:val="left" w:pos="2268"/>
        </w:tabs>
        <w:spacing w:line="276" w:lineRule="auto"/>
        <w:jc w:val="left"/>
      </w:pPr>
    </w:p>
    <w:p w14:paraId="583FC590" w14:textId="77777777" w:rsidR="00190F50" w:rsidRDefault="00000000">
      <w:pPr>
        <w:spacing w:line="276" w:lineRule="auto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Abstract Template</w:t>
      </w:r>
    </w:p>
    <w:p w14:paraId="6E3CF7E3" w14:textId="77777777" w:rsidR="00190F50" w:rsidRDefault="00000000">
      <w:pPr>
        <w:spacing w:line="276" w:lineRule="auto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Title: </w:t>
      </w:r>
    </w:p>
    <w:p w14:paraId="33FEAFC9" w14:textId="77777777" w:rsidR="00190F50" w:rsidRDefault="00000000">
      <w:pPr>
        <w:spacing w:line="360" w:lineRule="auto"/>
        <w:rPr>
          <w:b/>
          <w:bCs/>
        </w:rPr>
      </w:pPr>
      <w:r>
        <w:rPr>
          <w:b/>
          <w:bCs/>
        </w:rPr>
        <w:t xml:space="preserve">Light regulates secondary metabolite production and antagonistic activity in </w:t>
      </w:r>
      <w:r>
        <w:rPr>
          <w:b/>
          <w:bCs/>
          <w:i/>
          <w:iCs/>
        </w:rPr>
        <w:t>Trichoderma</w:t>
      </w:r>
    </w:p>
    <w:p w14:paraId="4CAA7049" w14:textId="77777777" w:rsidR="00190F50" w:rsidRPr="006C6497" w:rsidRDefault="00000000">
      <w:pPr>
        <w:spacing w:line="276" w:lineRule="auto"/>
        <w:rPr>
          <w:lang w:val="es-MX"/>
        </w:rPr>
      </w:pPr>
      <w:r w:rsidRPr="006C6497">
        <w:rPr>
          <w:u w:val="single"/>
          <w:lang w:val="es-MX"/>
        </w:rPr>
        <w:t>Edgardo Ulises Esquivel Naranjo</w:t>
      </w:r>
      <w:r w:rsidRPr="006C6497">
        <w:rPr>
          <w:vertAlign w:val="superscript"/>
          <w:lang w:val="es-MX"/>
        </w:rPr>
        <w:t>1,2</w:t>
      </w:r>
      <w:r w:rsidRPr="006C6497">
        <w:rPr>
          <w:lang w:val="es-MX"/>
        </w:rPr>
        <w:t>, John Hampton</w:t>
      </w:r>
      <w:r w:rsidRPr="006C6497">
        <w:rPr>
          <w:vertAlign w:val="superscript"/>
          <w:lang w:val="es-MX"/>
        </w:rPr>
        <w:t xml:space="preserve">2, </w:t>
      </w:r>
      <w:r w:rsidRPr="006C6497">
        <w:rPr>
          <w:lang w:val="es-MX"/>
        </w:rPr>
        <w:t>Artemio Mendoza Mendoza</w:t>
      </w:r>
      <w:r w:rsidRPr="006C6497">
        <w:rPr>
          <w:vertAlign w:val="superscript"/>
          <w:lang w:val="es-MX"/>
        </w:rPr>
        <w:t>2</w:t>
      </w:r>
      <w:r w:rsidRPr="006C6497">
        <w:rPr>
          <w:lang w:val="es-MX"/>
        </w:rPr>
        <w:t>.</w:t>
      </w:r>
    </w:p>
    <w:p w14:paraId="41A27830" w14:textId="77777777" w:rsidR="00190F50" w:rsidRPr="006C6497" w:rsidRDefault="00190F50">
      <w:pPr>
        <w:spacing w:line="276" w:lineRule="auto"/>
        <w:rPr>
          <w:color w:val="000000"/>
          <w:lang w:val="es-MX"/>
        </w:rPr>
      </w:pPr>
    </w:p>
    <w:p w14:paraId="10E990D9" w14:textId="77777777" w:rsidR="00190F50" w:rsidRDefault="00000000">
      <w:r>
        <w:rPr>
          <w:vertAlign w:val="superscript"/>
        </w:rPr>
        <w:t>1</w:t>
      </w:r>
      <w:r>
        <w:t xml:space="preserve"> Faculty of Agriculture and Life Sciences, Lincoln University, Lincoln 7647, New Zealand.</w:t>
      </w:r>
    </w:p>
    <w:p w14:paraId="6B668C47" w14:textId="77777777" w:rsidR="00190F50" w:rsidRDefault="00000000">
      <w:r>
        <w:rPr>
          <w:vertAlign w:val="superscript"/>
        </w:rPr>
        <w:t xml:space="preserve">2 </w:t>
      </w:r>
      <w:r>
        <w:t xml:space="preserve">Unit for Basic and Applied Microbiology, Faculty of Natural Sciences, Autonomous University of Queretaro, Queretaro </w:t>
      </w:r>
      <w:r>
        <w:rPr>
          <w:color w:val="212121"/>
          <w:highlight w:val="white"/>
        </w:rPr>
        <w:t xml:space="preserve">76230, </w:t>
      </w:r>
      <w:r>
        <w:t>Mexico.</w:t>
      </w:r>
    </w:p>
    <w:p w14:paraId="58206984" w14:textId="77777777" w:rsidR="00190F50" w:rsidRDefault="00190F50">
      <w:pPr>
        <w:spacing w:line="276" w:lineRule="auto"/>
        <w:rPr>
          <w:b/>
          <w:bCs/>
          <w:color w:val="000000"/>
        </w:rPr>
      </w:pPr>
    </w:p>
    <w:p w14:paraId="6E7CD22E" w14:textId="77777777" w:rsidR="00190F50" w:rsidRDefault="00000000">
      <w:pPr>
        <w:spacing w:line="276" w:lineRule="auto"/>
        <w:rPr>
          <w:color w:val="000000"/>
        </w:rPr>
      </w:pPr>
      <w:r>
        <w:rPr>
          <w:b/>
          <w:bCs/>
          <w:color w:val="000000"/>
        </w:rPr>
        <w:t>Email:</w:t>
      </w:r>
      <w:r>
        <w:rPr>
          <w:color w:val="000000"/>
        </w:rPr>
        <w:t xml:space="preserve"> edgardo.esquivel@lincoln.ac.nz </w:t>
      </w:r>
    </w:p>
    <w:p w14:paraId="459817C3" w14:textId="77777777" w:rsidR="00190F50" w:rsidRDefault="00190F50">
      <w:pPr>
        <w:spacing w:line="276" w:lineRule="auto"/>
        <w:rPr>
          <w:color w:val="000000"/>
        </w:rPr>
      </w:pPr>
    </w:p>
    <w:p w14:paraId="76D460CA" w14:textId="77777777" w:rsidR="00190F50" w:rsidRDefault="00000000">
      <w:pPr>
        <w:spacing w:line="276" w:lineRule="auto"/>
      </w:pPr>
      <w:r>
        <w:rPr>
          <w:b/>
          <w:bCs/>
        </w:rPr>
        <w:t>Key Words:</w:t>
      </w:r>
      <w:r>
        <w:t xml:space="preserve"> Crop Protection, Biocontrol, Antagonism, Secondary Metabolism, Fungal Biotechnology</w:t>
      </w:r>
    </w:p>
    <w:p w14:paraId="4C921420" w14:textId="77777777" w:rsidR="00190F50" w:rsidRDefault="00190F50">
      <w:pPr>
        <w:spacing w:line="276" w:lineRule="auto"/>
        <w:rPr>
          <w:color w:val="000000"/>
        </w:rPr>
      </w:pPr>
    </w:p>
    <w:p w14:paraId="1B1AFB73" w14:textId="77777777" w:rsidR="00190F50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 xml:space="preserve">Abstract </w:t>
      </w:r>
    </w:p>
    <w:p w14:paraId="752D2CDC" w14:textId="77777777" w:rsidR="00190F50" w:rsidRDefault="00000000">
      <w:pPr>
        <w:spacing w:line="360" w:lineRule="auto"/>
      </w:pPr>
      <w:r>
        <w:t xml:space="preserve">Secondary metabolism is one of the primary mechanisms </w:t>
      </w:r>
      <w:r>
        <w:rPr>
          <w:i/>
          <w:iCs/>
        </w:rPr>
        <w:t>Trichoderma</w:t>
      </w:r>
      <w:r>
        <w:t xml:space="preserve"> uses to explore and colonise new niches, and 6-pentyl-a-pyrone (6-PP) is a crucial secondary metabolite in this process. This work focused on standardizing a method to investigate the production of 6-PP. Ethanol and ethyl acetate were both effective solvents for quantifying 6-PP in solution and had limited solubility in PDB media. 6-</w:t>
      </w:r>
    </w:p>
    <w:p w14:paraId="7AEF41D0" w14:textId="4A5BA2FF" w:rsidR="00190F50" w:rsidRPr="00E67001" w:rsidRDefault="00000000" w:rsidP="00E67001">
      <w:pPr>
        <w:spacing w:line="360" w:lineRule="auto"/>
      </w:pPr>
      <w:r>
        <w:t xml:space="preserve">PP extraction using ethyl acetate provided a rapid and efficient process to recover this metabolite. 6-PP was readily produced during the development of </w:t>
      </w:r>
      <w:r>
        <w:rPr>
          <w:i/>
          <w:iCs/>
        </w:rPr>
        <w:t xml:space="preserve">Trichoderma </w:t>
      </w:r>
      <w:proofErr w:type="spellStart"/>
      <w:r>
        <w:rPr>
          <w:i/>
          <w:iCs/>
        </w:rPr>
        <w:t>atroviride</w:t>
      </w:r>
      <w:proofErr w:type="spellEnd"/>
      <w:r>
        <w:t xml:space="preserve"> growing in the dark, but light suppressed its production in submerged culture. The metabolite produced was identified as 6-PP by its mass spectrum, as the ion mass pattern was identical to that of commercial 6-PP. Other unidentified metabolites were either induced or suppressed by light in several species of </w:t>
      </w:r>
      <w:r>
        <w:rPr>
          <w:i/>
          <w:iCs/>
        </w:rPr>
        <w:t>Trichoderma</w:t>
      </w:r>
      <w:r>
        <w:t xml:space="preserve">. The antagonistic activity of </w:t>
      </w:r>
      <w:r>
        <w:rPr>
          <w:i/>
          <w:iCs/>
        </w:rPr>
        <w:t xml:space="preserve">T. </w:t>
      </w:r>
      <w:proofErr w:type="spellStart"/>
      <w:r>
        <w:rPr>
          <w:i/>
          <w:iCs/>
        </w:rPr>
        <w:t>atroviride</w:t>
      </w:r>
      <w:proofErr w:type="spellEnd"/>
      <w:r>
        <w:t xml:space="preserve"> was influenced by light, as suppression of plant root pathogens was more significant in the dark. Light has an important influence on the secondary metabolism and antagonistic activity of </w:t>
      </w:r>
      <w:r>
        <w:rPr>
          <w:i/>
          <w:iCs/>
        </w:rPr>
        <w:t>Trichoderma</w:t>
      </w:r>
      <w:r>
        <w:t xml:space="preserve">, and this trait is of key relevance for selecting antagonistic </w:t>
      </w:r>
      <w:r>
        <w:rPr>
          <w:i/>
          <w:iCs/>
        </w:rPr>
        <w:t>Trichoderma</w:t>
      </w:r>
      <w:r>
        <w:t xml:space="preserve"> strains for plant protection.</w:t>
      </w:r>
    </w:p>
    <w:sectPr w:rsidR="00190F50" w:rsidRPr="00E67001">
      <w:headerReference w:type="default" r:id="rId7"/>
      <w:pgSz w:w="11906" w:h="16838"/>
      <w:pgMar w:top="1588" w:right="1418" w:bottom="1701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240FB2" w14:textId="77777777" w:rsidR="00591894" w:rsidRDefault="00591894">
      <w:pPr>
        <w:spacing w:line="240" w:lineRule="auto"/>
      </w:pPr>
      <w:r>
        <w:separator/>
      </w:r>
    </w:p>
  </w:endnote>
  <w:endnote w:type="continuationSeparator" w:id="0">
    <w:p w14:paraId="27EA82B5" w14:textId="77777777" w:rsidR="00591894" w:rsidRDefault="005918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CCA56AAD-578F-45CC-9670-D7A4D0335064}"/>
    <w:embedBold r:id="rId2" w:fontKey="{D33B89BA-CC88-4E70-A43A-01AF1B9488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40EC056-B06D-4E6D-87EB-A02035B2801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3F782A61-CABA-4F40-B4D4-078F53C4B79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0F8DC7" w14:textId="77777777" w:rsidR="00591894" w:rsidRDefault="00591894">
      <w:pPr>
        <w:spacing w:line="240" w:lineRule="auto"/>
      </w:pPr>
      <w:r>
        <w:separator/>
      </w:r>
    </w:p>
  </w:footnote>
  <w:footnote w:type="continuationSeparator" w:id="0">
    <w:p w14:paraId="24AC119A" w14:textId="77777777" w:rsidR="00591894" w:rsidRDefault="0059189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9F139C" w14:textId="3DCBA925" w:rsidR="00190F50" w:rsidRDefault="00E6700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7216" behindDoc="1" locked="0" layoutInCell="1" hidden="0" allowOverlap="1" wp14:anchorId="7C6F9030" wp14:editId="7A69DD4C">
          <wp:simplePos x="0" y="0"/>
          <wp:positionH relativeFrom="margin">
            <wp:align>right</wp:align>
          </wp:positionH>
          <wp:positionV relativeFrom="paragraph">
            <wp:posOffset>-268081</wp:posOffset>
          </wp:positionV>
          <wp:extent cx="1554516" cy="840727"/>
          <wp:effectExtent l="0" t="0" r="762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54516" cy="840727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color w:val="000000"/>
      </w:rPr>
      <w:pict w14:anchorId="3694904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5" type="#_x0000_t136" style="position:absolute;left:0;text-align:left;margin-left:0;margin-top:0;width:461.85pt;height:197.95pt;rotation:315;z-index:-251658240;mso-position-horizontal:center;mso-position-horizontal-relative:margin;mso-position-vertical:center;mso-position-vertical-relative:margin" fillcolor="silver" stroked="f">
          <v:fill opacity=".5"/>
          <v:textpath style="font-family:&quot;&amp;quot&quot;;font-size:1pt" string="SAMPLE"/>
          <w10:wrap anchorx="margin" anchory="margin"/>
        </v:shape>
      </w:pict>
    </w:r>
    <w:r w:rsidR="00000000">
      <w:rPr>
        <w:color w:val="000000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0F50"/>
    <w:rsid w:val="00190F50"/>
    <w:rsid w:val="00354114"/>
    <w:rsid w:val="00550EB0"/>
    <w:rsid w:val="00591894"/>
    <w:rsid w:val="006C6497"/>
    <w:rsid w:val="00E3091D"/>
    <w:rsid w:val="00E67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ED143E"/>
  <w15:docId w15:val="{4D732498-8EC1-4B52-A613-066DEB2FB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n-NZ" w:eastAsia="es-MX" w:bidi="ar-SA"/>
      </w:rPr>
    </w:rPrDefault>
    <w:pPrDefault>
      <w:pPr>
        <w:widowControl w:val="0"/>
        <w:spacing w:line="288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before="14" w:line="406" w:lineRule="auto"/>
      <w:ind w:right="-20"/>
      <w:outlineLvl w:val="0"/>
    </w:pPr>
    <w:rPr>
      <w:b/>
      <w:bCs/>
      <w:sz w:val="36"/>
      <w:szCs w:val="36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spacing w:line="240" w:lineRule="auto"/>
      <w:ind w:left="-567"/>
      <w:outlineLvl w:val="1"/>
    </w:pPr>
    <w:rPr>
      <w:b/>
      <w:bCs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line="276" w:lineRule="auto"/>
      <w:outlineLvl w:val="2"/>
    </w:pPr>
    <w:rPr>
      <w:rFonts w:ascii="Cambria" w:eastAsia="Cambria" w:hAnsi="Cambria" w:cs="Cambria"/>
      <w:b/>
      <w:bCs/>
      <w:color w:val="4F81BD"/>
      <w:sz w:val="22"/>
      <w:szCs w:val="22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line="240" w:lineRule="auto"/>
    </w:pPr>
    <w:rPr>
      <w:rFonts w:ascii="Calibri" w:eastAsia="Calibri" w:hAnsi="Calibri" w:cs="Calibri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67001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7001"/>
  </w:style>
  <w:style w:type="paragraph" w:styleId="Piedepgina">
    <w:name w:val="footer"/>
    <w:basedOn w:val="Normal"/>
    <w:link w:val="PiedepginaCar"/>
    <w:uiPriority w:val="99"/>
    <w:unhideWhenUsed/>
    <w:rsid w:val="00E67001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70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DueVxCzTiVUxxNMkjqBiaJGTvg==">CgMxLjA4AHIhMXpVZ1Z6WXlSNDNvOFZuRjU1dEtQcWpPRTZudkxMX2wt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294</Words>
  <Characters>1618</Characters>
  <Application>Microsoft Office Word</Application>
  <DocSecurity>0</DocSecurity>
  <Lines>13</Lines>
  <Paragraphs>3</Paragraphs>
  <ScaleCrop>false</ScaleCrop>
  <Company/>
  <LinksUpToDate>false</LinksUpToDate>
  <CharactersWithSpaces>1909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Edgardo Esquivel</dc:creator>
  <cp:lastModifiedBy>Edgardo Esquivel</cp:lastModifiedBy>
  <cp:revision>3</cp:revision>
  <dcterms:created xsi:type="dcterms:W3CDTF">2026-05-25T16:14:00Z</dcterms:created>
  <dcterms:modified xsi:type="dcterms:W3CDTF">2026-05-26T00:21:00Z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lpwstr>534633118</vt:lpwstr>
  </property>
  <property fmtid="{D5CDD505-2E9C-101B-9397-08002B2CF9AE}" pid="3" name="_NewReviewCycle">
    <vt:lpwstr>_NewReviewCycle</vt:lpwstr>
  </property>
  <property fmtid="{D5CDD505-2E9C-101B-9397-08002B2CF9AE}" pid="4" name="_EmailSubject">
    <vt:lpwstr>Alistair's access to the TG2024 email system</vt:lpwstr>
  </property>
  <property fmtid="{D5CDD505-2E9C-101B-9397-08002B2CF9AE}" pid="5" name="_AuthorEmail">
    <vt:lpwstr>Artemio.Mendoza@lincoln.ac.nz</vt:lpwstr>
  </property>
  <property fmtid="{D5CDD505-2E9C-101B-9397-08002B2CF9AE}" pid="6" name="_AuthorEmailDisplayName">
    <vt:lpwstr>Mendoza, Artemio</vt:lpwstr>
  </property>
  <property fmtid="{D5CDD505-2E9C-101B-9397-08002B2CF9AE}" pid="7" name="_PreviousAdHocReviewCycleID">
    <vt:lpwstr>670918700</vt:lpwstr>
  </property>
  <property fmtid="{D5CDD505-2E9C-101B-9397-08002B2CF9AE}" pid="8" name="_ReviewingToolsShownOnce">
    <vt:lpwstr>_ReviewingToolsShownOnce</vt:lpwstr>
  </property>
  <property fmtid="{D5CDD505-2E9C-101B-9397-08002B2CF9AE}" pid="9" name="GrammarlyDocumentId">
    <vt:lpwstr>53a369c6094809ac744d1323f2f517e5b1c3bbe33c5530a7cbea637f946cda33</vt:lpwstr>
  </property>
</Properties>
</file>